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45"/>
      </w:tblGrid>
      <w:tr w:rsidR="00715AB0" w:rsidRPr="00715AB0" w:rsidTr="00715AB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5AB0" w:rsidRPr="00715AB0" w:rsidRDefault="00715AB0" w:rsidP="00715AB0">
            <w:pPr>
              <w:spacing w:before="229" w:after="229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;mso-wrap-distance-left:.75pt;mso-wrap-distance-top:.75pt;mso-wrap-distance-right:.75pt;mso-wrap-distance-bottom:.75pt"/>
              </w:pict>
            </w:r>
          </w:p>
        </w:tc>
      </w:tr>
      <w:tr w:rsidR="00715AB0" w:rsidRPr="00715AB0" w:rsidTr="00715AB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5AB0" w:rsidRPr="00715AB0" w:rsidRDefault="00715AB0" w:rsidP="00715AB0">
            <w:pPr>
              <w:spacing w:before="457" w:after="0" w:line="240" w:lineRule="auto"/>
              <w:ind w:left="686" w:right="6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Указ</w:t>
            </w:r>
            <w:r w:rsidRPr="0071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15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5AB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lang w:eastAsia="ru-RU"/>
              </w:rPr>
              <w:t>Президента України</w:t>
            </w:r>
          </w:p>
        </w:tc>
      </w:tr>
    </w:tbl>
    <w:p w:rsidR="00715AB0" w:rsidRPr="00715AB0" w:rsidRDefault="00715AB0" w:rsidP="00715AB0">
      <w:pPr>
        <w:spacing w:before="457" w:after="686" w:line="240" w:lineRule="auto"/>
        <w:ind w:left="686" w:right="6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n3"/>
      <w:bookmarkEnd w:id="0"/>
      <w:proofErr w:type="gramStart"/>
      <w:r w:rsidRPr="00715A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Про</w:t>
      </w:r>
      <w:proofErr w:type="gramEnd"/>
      <w:r w:rsidRPr="00715A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заходи, спрямовані на забезпечення додержання </w:t>
      </w:r>
      <w:proofErr w:type="gramStart"/>
      <w:r w:rsidRPr="00715A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прав</w:t>
      </w:r>
      <w:proofErr w:type="gramEnd"/>
      <w:r w:rsidRPr="00715AB0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осіб з інвалідністю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n4"/>
      <w:bookmarkEnd w:id="1"/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забезпечення додержання та реалізації прав і свобод осіб з інвалідністю відповідно до вимог </w:t>
      </w:r>
      <w:hyperlink r:id="rId4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про права осіб з інвалідністю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також засвідчуючи повагу до сили духу та гідності цих людей, </w:t>
      </w:r>
      <w:r w:rsidRPr="00715AB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>постановляю: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n5"/>
      <w:bookmarkEnd w:id="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Кабінету Міні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України, місцевим органам виконавчої влади  забезпечити із залученням громадських об'єднань, які опікуються питаннями осіб з інвалідністю, проведення до 1 червня 2017 року аналізу стану виконання зобов’язань України за </w:t>
      </w:r>
      <w:hyperlink r:id="rId5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Конвенцією про права осіб з інвалідністю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 за результатами аналізу вжити додаткових заходів щодо активізації роботи із реалізації положень названої Конвенції.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n6"/>
      <w:bookmarkEnd w:id="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Кабінету Міні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протягом 2017 року: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n7"/>
      <w:bookmarkEnd w:id="4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підготувати та внести в установленому порядку на розгляд Верховно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ї 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України законопроекти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n8"/>
      <w:bookmarkEnd w:id="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особистого розгляду першими керівниками державного органу, органу місцевого самоврядування,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ідприємства, установи, організації заяв (клопотань) учасників антитерористичної операції, які стали інвалідами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n9"/>
      <w:bookmarkEnd w:id="6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можливості забезпечення медичним обслуговуванням у військових медичних закладах демобілізованих учасників антитерористичної операції, які стали інвалідами внаслідок поранення, контузії, каліцтва або захворювання, одержаних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безпосередньої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10"/>
      <w:bookmarkEnd w:id="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права взяття на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іальний квартирний облік осіб з інвалідністю з числа внутрішньо переміщених осіб за місцем їх проживання;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n11"/>
      <w:bookmarkEnd w:id="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компенсації особам з інвалідністю витрат на придбання виробів медичного призначення або відшкодування (у разі безоплатного надання виробів медичного призначення особам з інвалідністю) виробникам/постачальникам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 вартості цих виробів;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n12"/>
      <w:bookmarkEnd w:id="9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забезпечити в установленому порядку належне вирішення питань імунопрофілактики та захисту населення від інфекційних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хвороб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зокрема шляхом розроблення відповідної державної цільової програми;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n13"/>
      <w:bookmarkEnd w:id="10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розробити та затвердити: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n14"/>
      <w:bookmarkEnd w:id="11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концепцію створення та розвитку системи послуг раннього втручання;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n15"/>
      <w:bookmarkEnd w:id="1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порядки організації інклюзивного навчання у дошкільних, позашкільних, професійно-технічних та вищих навчальних закладах, а також зміни до порядку організації інклюзивного навчання у загальноосвітніх навчальних закладах, зокрема щодо перегляду наповнюваності класів з інклюзивним навчанням та щодо надання батькам можливості здійснювати супровід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ітей з особливими потребами під час навчання в інклюзивному класі;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n16"/>
      <w:bookmarkEnd w:id="1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забезпечити удосконалення законодавства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n17"/>
      <w:bookmarkEnd w:id="14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та умов встановлення інвалідності, передбачивши можливість встановлення причинного зв’язку інвалідності цивільних осіб з пораненням, контузією або каліцтвом, одержаними ними внаслідок бойових дій або вчиненого терористичного акту, перебуваючи безпосередньо в районах антитерористичної операції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іод її проведення;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18"/>
      <w:bookmarkEnd w:id="1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забезпечення осіб з інвалідністю виробами медичного призначення з урахуванням індивідуальних потреб, зокрема, розширення переліку виробів, на які вказана категорія осіб має право, та визначення нормативів забезпечення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виробами;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n19"/>
      <w:bookmarkEnd w:id="16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діяльності позаштатних (громадських) інспекторів державного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ітектурно-будівельного контролю, контролю у сфері житлово-комунального господарства щодо врахування потреб осіб з інвалідністю під час проектування, будівництва, реконструкції та ремонту об'єктів громадського та цивільного призначення, благоустрою, транспортної інфраструктури, дорожнього сервісу із залученням до такої діяльності представників громадських об’єднань, які опікуються питаннями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n20"/>
      <w:bookmarkEnd w:id="1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вжити в установленому порядку заходів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n21"/>
      <w:bookmarkEnd w:id="1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оновлення переліку технічних та інших засобів реабілітації для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інвалідністю, дітей з інвалідністю та інших окремих категорій населення, зокрема осіб з порушеннями зору;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n22"/>
      <w:bookmarkEnd w:id="19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порядку подання до органів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іального захисту населення документів, необхідних для забезпечення технічними та іншими засобами реабілітації учасників антитерористичної операції, які одержали поранення, контузію, каліцтво або захворювання під час участі в антитерористичній операції, забезпеченні її проведення, перебуваючи безпосередньо в районах антитерористичної операції у період її проведення, та які перебувають на лікуванні у військово-медичних закладах, госпіталях ветеранів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ійни, зокрема передбачивши можливість забезпечення таких осіб засобами реабілітації за зверненням керівника медичного закладу, де перебуває на лікуванні така особа;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n23"/>
      <w:bookmarkEnd w:id="20"/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належного фінансування з державного бюджету розвитку об’єктів Західного реабілітаційно-спортивного центру, будівництва об’єктів Всеукраїнського реабілітаційно-відновлювального спортивного центру Національного комітету спорту інвалідів України, а також залучення в установленому порядку на вказані цілі міжнародної технічної допомоги;</w:t>
      </w:r>
      <w:proofErr w:type="gramEnd"/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n24"/>
      <w:bookmarkEnd w:id="21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6) вирішити в установленому порядку питання щодо надання дітям з інвалідністю - учасникам фінальних змагань щорічної Всеукраїнської спартакіади «Пові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себе» – безоплатних путівок до державного підприємства «Український дитячий центр «Молода гвардія» на відповідну тематичну зміну;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n25"/>
      <w:bookmarkEnd w:id="2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опрацювати в установленому порядку питання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n26"/>
      <w:bookmarkEnd w:id="2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можливості продовження військової служби за контрактом військовослужбовцями з числа громадян України (крім військовослужбовців строкової служби), які не досягли граничного віку перебування військовослужбовців у запасі та які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проходження </w:t>
      </w:r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військової служби були визнані особами з інвалідністю, у разі виявлення бажання продовжувати військову службу;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n27"/>
      <w:bookmarkEnd w:id="24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порядку взаємодії військових комісаріатів і центрів зайнятості державної служби зайнятості стосовно надання допомоги у працевлаштуванні учасникам антитерористичної операції, звільненим з військової служби, з числа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n28"/>
      <w:bookmarkEnd w:id="2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запровадження особистої картки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надання невідкладної допомоги при пораненні, контузії, каліцтві та/або захворюванні із зазначенням їх  причин для військовослужбовців Збройних Сил України та інших утворених відповідно до законів України військових формувань, правоохоронних органів, які беруть участь в антитерористичній операції, забезпеченні її проведення;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n29"/>
      <w:bookmarkEnd w:id="26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визначення механізмів і джерел фінансування безоплатного діагностування інфекційних захворювань в учасників антитерористичної операції з числа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n30"/>
      <w:bookmarkEnd w:id="2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запровадження ефективного механізму визначення результатів виконання роботодавцями нормативу робочих місць для забезпечення працевлаштування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n31"/>
      <w:bookmarkEnd w:id="2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перегляду штатних нормативів для закладів, установ освіти,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 захисту населення, охорони здоров'я, в яких перебувають (навчаються) діти з інвалідністю, особи з інвалідністю, з метою забезпечення врахування потреб таких осіб;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n32"/>
      <w:bookmarkEnd w:id="29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сприяння взаємодії органів виконавчої влади з Уповноваженим Президента України з прав людей з інвалідністю з питань забезпечення додержання прав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n33"/>
      <w:bookmarkEnd w:id="30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удосконалення порядку надання особам з інвалідністю пристосованого житла, передбачивши, зокрема, механізм заміни житла в разі його невідповідності вимогам безперешкодного доступу та неможливості пристосування до потреб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n34"/>
      <w:bookmarkEnd w:id="31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забезпечити: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n35"/>
      <w:bookmarkEnd w:id="3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перегляд із залученням громадських об’єднань, які опікуються питаннями осіб з інвалідністю, перелі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ів захворювань, за наявності яких особу не може бути допущено до керування транспортними засобами та донорства, з метою усунення надмірних протипоказань для осіб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n36"/>
      <w:bookmarkEnd w:id="3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 санітарного регламенту для психоневрологічних інтернатів, дитячих будинкі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інтернатів, будинків-інтернатів для громадян похилого віку та осіб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n37"/>
      <w:bookmarkEnd w:id="34"/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 виїзних засідань медико-соціальних експертних комісій і лікарсько-консультативних комісій закладів охорони здоров’я до інтернатних установ, в яких перебувають особи з інвалідністю, діти з інвалідністю, з метою розроблення та коригування індивідуальних програм реабілітації, а також контроль за їх реалізацією;</w:t>
      </w:r>
      <w:proofErr w:type="gramEnd"/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n38"/>
      <w:bookmarkEnd w:id="3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актуалізацію стандартів надання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послуг щодо навчання орієнтуванню у просторі та супроводу на робочому місці осіб з порушенням зору, здійснення стаціонарного догляду за особами зі стійкими психічними та/або інтелектуальними порушеннями;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n39"/>
      <w:bookmarkEnd w:id="36"/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єдиних технічних вимог та правил застосування на транспорті загального користування пристроїв для зовнішнього звукового інформування пасажирів із порушенням зору про номер і кінцеву зупинку маршруту, а також звукових та візуальних (текстових) систем у салоні транспортних засобів для інформування пасажирів із порушенням зору та слуху про зупинки;</w:t>
      </w:r>
      <w:proofErr w:type="gramEnd"/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n40"/>
      <w:bookmarkEnd w:id="3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встановлення єдиних технічних вимог та правил застосування пристроїв для звукового і тактильного дублювання сигналів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ітлофорів;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n41"/>
      <w:bookmarkEnd w:id="3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віднесення до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ішоходів осіб, які перетинають проїзну частину автомобільної дороги, вулиці на інвалідних колясках з двигуном з визначеною швидкістю;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n42"/>
      <w:bookmarkEnd w:id="39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реформування з урахуванням міжнародного досвіду до 2022 року психоневрологічних інтернатних закладів системи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іального захисту; 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n43"/>
      <w:bookmarkEnd w:id="40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 в повному обсязі заходів, передбачених Указом Президента України від 3 грудня 2015 року </w:t>
      </w:r>
      <w:hyperlink r:id="rId6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№ 678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«Про активізацію роботи щодо забезпечення прав людей з інвалідністю», спрямованих на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ідтримку осіб з інвалідністю, у тому числі тих, які отримали інвалідність унаслідок поранення, контузії, каліцтва або захворювання, одержаних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безпосередньої участі в антитерористичній операції в Донецькій і Луганській областях та в районі її проведення, а також внутрішньо переміщених осіб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n44"/>
      <w:bookmarkEnd w:id="41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опрацювати із залученням органів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ісцевого самоврядування питання щодо надання земельної ділянки Всеукраїнському реабілітаційно-відновлювальному спортивному центру Національного комітету спорту інвалідів України;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n45"/>
      <w:bookmarkEnd w:id="4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10) розглянути разом із Національним банком України та за участю Національного комітету спорту інвалідів України можливість виготовлення та випуску в обіг у встановленому порядку пам’ятної монети, присвяченої XV Літнім Паралімпійським 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місті Ріо-де-Жанейро (Федеративна Республіка Бразилія).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n46"/>
      <w:bookmarkEnd w:id="4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Обласним, Київській міській державним адміністраціям вжити за участю органів місцевого самоврядування заходів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n47"/>
      <w:bookmarkEnd w:id="44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іальних послуг, зокрема соціальних послуг денного догляду, догляду вдома та підтриманого проживання, шляхом соціального замовлення;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48"/>
      <w:bookmarkEnd w:id="4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обов’язкового врахування потреб осіб з інвалідністю та інших маломобільних груп населення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 час будівництва, реконструкції, реставрації, ремонту, капітального ремонту об’єктів громадського та цивільного призначення, об’єктів благоустрою, дорожньо-транспортної інфраструктури, а також закупівлі транспортних засобів загального користування, зокрема шкільних автобусів, запровадження включення вимог щодо потреб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 з інвалідністю до тендерної документації та до договорів про закупівлю відповідних товарів, робіт і послуг, договорів із розробки проектної та іншої документації;</w:t>
      </w:r>
      <w:proofErr w:type="gramEnd"/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n49"/>
      <w:bookmarkEnd w:id="46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вирішення в установленому порядку питань щодо належного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івня фінансового та кадрового забезпечення діяльності регіональних центрів з фізичної культури і спорту інвалідів «Інваспорт» і дитячо-юнацьких спортивних шкіл інвалідів, які є в комунальній власності.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n50"/>
      <w:bookmarkEnd w:id="4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Національному агентству України з питань державної служби запровадити здійснення щорічного аналізу виконання рекомендацій про включення тематичних занять із вивчення положень </w:t>
      </w:r>
      <w:hyperlink r:id="rId7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про права осіб з інвалідністю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 змісту професійних програм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ідвищення кваліфікації державних службовців і посадових осіб місцевого самоврядування, а також включення, з урахуванням специфіки функціональних повноважень відповідних державних органів та їх структурних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ідрозділів, питань щодо знання положень зазначеної Конвенції до переліку питань для перевірки знання законодавства під час проведення конкурсу на зайняття вакантних посад державної служби.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n51"/>
      <w:bookmarkEnd w:id="4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Національній академії державного управління при Президентові України проводити щорічний аналіз виконання Дніпропетровським, Львівським, Одеським та Харківським регіональними інститутами державного управління навчальних програм, у тому числі </w:t>
      </w:r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професійних програм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кваліфікації державних службовців і посадових осіб місцевого самоврядування, в частині вивчення положень </w:t>
      </w:r>
      <w:hyperlink r:id="rId8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про права осіб з інвалідністю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наявності необхідних навчально-методичних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n52"/>
      <w:bookmarkEnd w:id="49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Запропонувати органам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ісцевого самоврядування забезпечити вирішення в установленому порядку питань щодо: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n53"/>
      <w:bookmarkEnd w:id="50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облаштування будівель і приміщень навчальних закладі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 перебувають у комунальній власності відповідної територіальної громади та в яких проводитиметься зовнішнє незалежне оцінювання, з урахуванням потреб осіб з інвалідністю;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n54"/>
      <w:bookmarkEnd w:id="51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доступу користувачів з вадами зору та слуху до інформації, яка розміщується на офіційних веб-сайтах органів місцевого самоврядування та веб-сайтах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ідприємств, установ, організацій, що належать до сфери їх управління;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5"/>
      <w:bookmarkEnd w:id="52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організації ведення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 осіб з інвалідністю, які потребують забезпечення виробами медичного призначення, та поліпшення забезпечення цих осіб такими виробами;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n56"/>
      <w:bookmarkEnd w:id="53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здійснення не менш одного разу на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івріччя за участю представників громадських об’єднань, які опікуються питаннями осіб з інвалідністю, правозахисників і незалежних експертів моніторингу умов проживання осіб з інвалідністю в інтернатних установах та в разі виявлення порушень вживати відповідних заходів реагування.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n57"/>
      <w:bookmarkEnd w:id="54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Запропонувати Національному банку України опрацювати в установленому порядку за участю громадських об’єднань, які опікуються питаннями осіб з інвалідністю, питання щодо вдосконалення законодавства в частині доступу осіб з порушеннями зору та слуху до банківських послуг, зокрема до послуг сервісних служб банків.</w:t>
      </w:r>
      <w:proofErr w:type="gramEnd"/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n58"/>
      <w:bookmarkEnd w:id="55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Запропонувати Центральній виборчій комісії України здійснити аналіз ситуації щодо можливості реалізації виборцями, які є особами з інвалідністю,  свого права голосу на виборах і референдумах, зокрема, ураховуючи результати впровадження в Полтавській області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ілотного проекту-дослідження «Оцінювання доступності виборчих дільниць для виборців з інвалідністю», та підготувати відповідні пропозиції.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n59"/>
      <w:bookmarkEnd w:id="56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Запропонувати Верховному Суду узагальнити практику розгляду судами справ, пов’язаних із порушенням законодавства з питань захисту прав осіб з інвалідністю, в тому числі</w:t>
      </w:r>
      <w:hyperlink r:id="rId9" w:tgtFrame="_blank" w:history="1">
        <w:r w:rsidRPr="00715AB0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Конвенції про права осіб з інвалідністю</w:t>
        </w:r>
      </w:hyperlink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за результатами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 рекомендації щодо однакового застосування судами норм зазначеного законодавства при вирішенні таких справ.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n60"/>
      <w:bookmarkEnd w:id="57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Державному комітету телебачення і радіомовлення України забезпечувати в установленому порядку широке висвітлення заходів щодо додержання прав і свобод </w:t>
      </w:r>
      <w:proofErr w:type="gramStart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gramEnd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інвалідністю.</w:t>
      </w:r>
    </w:p>
    <w:p w:rsidR="00715AB0" w:rsidRPr="00715AB0" w:rsidRDefault="00715AB0" w:rsidP="00715AB0">
      <w:pPr>
        <w:spacing w:after="229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n61"/>
      <w:bookmarkEnd w:id="58"/>
      <w:r w:rsidRPr="00715AB0">
        <w:rPr>
          <w:rFonts w:ascii="Times New Roman" w:eastAsia="Times New Roman" w:hAnsi="Times New Roman" w:cs="Times New Roman"/>
          <w:sz w:val="24"/>
          <w:szCs w:val="24"/>
          <w:lang w:eastAsia="ru-RU"/>
        </w:rPr>
        <w:t>11. Цей Указ набирає чинності з дня його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93"/>
        <w:gridCol w:w="6752"/>
      </w:tblGrid>
      <w:tr w:rsidR="00715AB0" w:rsidRPr="00715AB0" w:rsidTr="00715AB0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5AB0" w:rsidRPr="00715AB0" w:rsidRDefault="00715AB0" w:rsidP="00715AB0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n62"/>
            <w:bookmarkEnd w:id="59"/>
            <w:r w:rsidRPr="0071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715AB0" w:rsidRPr="00715AB0" w:rsidRDefault="00715AB0" w:rsidP="00715AB0">
            <w:pPr>
              <w:spacing w:before="457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П.ПОРОШЕНКО</w:t>
            </w:r>
          </w:p>
        </w:tc>
      </w:tr>
      <w:tr w:rsidR="00715AB0" w:rsidRPr="00715AB0" w:rsidTr="00715AB0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15AB0" w:rsidRPr="00715AB0" w:rsidRDefault="00715AB0" w:rsidP="00715AB0">
            <w:pPr>
              <w:spacing w:before="457" w:after="22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  <w:r w:rsidRPr="0071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Київ</w:t>
            </w:r>
            <w:r w:rsidRPr="00715AB0">
              <w:rPr>
                <w:rFonts w:ascii="Times New Roman" w:eastAsia="Times New Roman" w:hAnsi="Times New Roman" w:cs="Times New Roman"/>
                <w:color w:val="000000"/>
                <w:sz w:val="37"/>
                <w:lang w:eastAsia="ru-RU"/>
              </w:rPr>
              <w:t> </w:t>
            </w:r>
            <w:r w:rsidRPr="00715AB0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br/>
            </w:r>
            <w:r w:rsidRPr="0071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грудня 2016 року</w:t>
            </w:r>
            <w:r w:rsidRPr="00715AB0">
              <w:rPr>
                <w:rFonts w:ascii="Times New Roman" w:eastAsia="Times New Roman" w:hAnsi="Times New Roman" w:cs="Times New Roman"/>
                <w:color w:val="000000"/>
                <w:sz w:val="37"/>
                <w:lang w:eastAsia="ru-RU"/>
              </w:rPr>
              <w:t> </w:t>
            </w:r>
            <w:r w:rsidRPr="00715AB0"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  <w:br/>
            </w:r>
            <w:r w:rsidRPr="00715A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553/2016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715AB0" w:rsidRPr="00715AB0" w:rsidRDefault="00715AB0" w:rsidP="00715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7"/>
                <w:szCs w:val="37"/>
                <w:lang w:eastAsia="ru-RU"/>
              </w:rPr>
            </w:pPr>
          </w:p>
        </w:tc>
      </w:tr>
    </w:tbl>
    <w:p w:rsidR="00B672FE" w:rsidRDefault="00B672FE"/>
    <w:sectPr w:rsidR="00B672FE" w:rsidSect="00B672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grammar="clean"/>
  <w:defaultTabStop w:val="708"/>
  <w:characterSpacingControl w:val="doNotCompress"/>
  <w:compat/>
  <w:rsids>
    <w:rsidRoot w:val="00715AB0"/>
    <w:rsid w:val="00715AB0"/>
    <w:rsid w:val="00B6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6">
    <w:name w:val="rvts66"/>
    <w:basedOn w:val="a0"/>
    <w:rsid w:val="00715AB0"/>
  </w:style>
  <w:style w:type="character" w:customStyle="1" w:styleId="apple-converted-space">
    <w:name w:val="apple-converted-space"/>
    <w:basedOn w:val="a0"/>
    <w:rsid w:val="00715AB0"/>
  </w:style>
  <w:style w:type="paragraph" w:customStyle="1" w:styleId="rvps6">
    <w:name w:val="rvps6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715AB0"/>
  </w:style>
  <w:style w:type="paragraph" w:customStyle="1" w:styleId="rvps2">
    <w:name w:val="rvps2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5AB0"/>
    <w:rPr>
      <w:color w:val="0000FF"/>
      <w:u w:val="single"/>
    </w:rPr>
  </w:style>
  <w:style w:type="character" w:customStyle="1" w:styleId="rvts52">
    <w:name w:val="rvts52"/>
    <w:basedOn w:val="a0"/>
    <w:rsid w:val="00715AB0"/>
  </w:style>
  <w:style w:type="paragraph" w:customStyle="1" w:styleId="rvps4">
    <w:name w:val="rvps4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15AB0"/>
  </w:style>
  <w:style w:type="paragraph" w:customStyle="1" w:styleId="rvps15">
    <w:name w:val="rvps15"/>
    <w:basedOn w:val="a"/>
    <w:rsid w:val="0071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922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631">
          <w:marLeft w:val="0"/>
          <w:marRight w:val="0"/>
          <w:marTop w:val="0"/>
          <w:marBottom w:val="2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95_g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995_g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678/20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995_g7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995_g71" TargetMode="External"/><Relationship Id="rId9" Type="http://schemas.openxmlformats.org/officeDocument/2006/relationships/hyperlink" Target="https://zakon.rada.gov.ua/laws/show/995_g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2290</Words>
  <Characters>13056</Characters>
  <Application>Microsoft Office Word</Application>
  <DocSecurity>0</DocSecurity>
  <Lines>108</Lines>
  <Paragraphs>30</Paragraphs>
  <ScaleCrop>false</ScaleCrop>
  <Company>Reanimator Extreme Edition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Iryna.Ragimova</dc:creator>
  <cp:keywords/>
  <dc:description/>
  <cp:lastModifiedBy>Iryna.Ragimova</cp:lastModifiedBy>
  <cp:revision>2</cp:revision>
  <dcterms:created xsi:type="dcterms:W3CDTF">2019-09-17T07:49:00Z</dcterms:created>
  <dcterms:modified xsi:type="dcterms:W3CDTF">2019-09-17T07:49:00Z</dcterms:modified>
</cp:coreProperties>
</file>